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media/image12.jpeg" ContentType="image/jpeg"/>
  <Override PartName="/word/_rels/header2.xml.rels" ContentType="application/vnd.openxmlformats-package.relationships+xml"/>
  <Override PartName="/word/_rels/document.xml.rels" ContentType="application/vnd.openxmlformats-package.relationship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uppressLineNumbers/>
        <w:spacing w:after="0" w:before="0" w:line="100" w:lineRule="atLeast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sr-RS" w:val="sr-RS"/>
        </w:rPr>
        <w:t>ЗАШТИТА ЖИВОТНЕ СРЕДИНЕ У ИНДУСТРИЈСКИМ ОБЈЕКТИМА</w:t>
      </w:r>
    </w:p>
    <w:p>
      <w:pPr>
        <w:pStyle w:val="style0"/>
        <w:suppressLineNumbers/>
        <w:spacing w:after="0" w:before="0" w:line="100" w:lineRule="atLeast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sr-RS" w:val="sr-RS"/>
        </w:rPr>
      </w:r>
    </w:p>
    <w:p>
      <w:pPr>
        <w:pStyle w:val="style0"/>
        <w:suppressLineNumbers/>
        <w:spacing w:after="0" w:before="0" w:line="100" w:lineRule="atLeast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sr-RS" w:val="sr-RS"/>
        </w:rPr>
        <w:t>КОНТРОЛНА ЛИСТА: ОТПАДНЕ ВОДЕ</w:t>
      </w:r>
    </w:p>
    <w:p>
      <w:pPr>
        <w:pStyle w:val="style0"/>
        <w:suppressLineNumbers/>
        <w:spacing w:after="0" w:before="0" w:line="100" w:lineRule="atLeast"/>
        <w:jc w:val="both"/>
      </w:pPr>
      <w:r>
        <w:rPr>
          <w:rFonts w:ascii="Times New Roman" w:eastAsia="Times New Roman" w:hAnsi="Times New Roman"/>
          <w:sz w:val="24"/>
          <w:szCs w:val="24"/>
          <w:lang w:eastAsia="sr-RS" w:val="sr-RS"/>
        </w:rPr>
      </w:r>
    </w:p>
    <w:p>
      <w:pPr>
        <w:pStyle w:val="style0"/>
        <w:suppressLineNumbers/>
        <w:spacing w:after="0" w:before="0" w:line="100" w:lineRule="atLeast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sr-RS" w:val="sr-RS"/>
        </w:rPr>
        <w:t>Закон о заштити животне средине</w:t>
      </w:r>
      <w:r>
        <w:rPr>
          <w:rFonts w:ascii="Times New Roman" w:eastAsia="Times New Roman" w:hAnsi="Times New Roman"/>
          <w:sz w:val="24"/>
          <w:szCs w:val="24"/>
          <w:lang w:eastAsia="sr-RS" w:val="sr-RS"/>
        </w:rPr>
        <w:t xml:space="preserve"> (''Сл. Гласник РС'', бр. </w:t>
      </w:r>
      <w:r>
        <w:rPr>
          <w:rFonts w:ascii="Times New Roman" w:cs="Times New Roman" w:hAnsi="Times New Roman"/>
          <w:iCs/>
          <w:sz w:val="24"/>
          <w:szCs w:val="24"/>
          <w:lang w:val="ru-RU"/>
        </w:rPr>
        <w:t>135/2004-29, 36/2009-144, 36/2009-115- др. закон, 72/2009-164 - др. закон, 43/2011-88 (УС), 14/2016-3, 76/2018-3, 95/2018-267 - др. закон)</w:t>
      </w:r>
    </w:p>
    <w:p>
      <w:pPr>
        <w:pStyle w:val="style0"/>
        <w:suppressLineNumbers/>
        <w:spacing w:after="0" w:before="0" w:line="100" w:lineRule="atLeast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sr-RS" w:val="sr-RS"/>
        </w:rPr>
        <w:t>Закон о водама</w:t>
      </w:r>
      <w:r>
        <w:rPr>
          <w:rFonts w:ascii="Times New Roman" w:eastAsia="Times New Roman" w:hAnsi="Times New Roman"/>
          <w:sz w:val="24"/>
          <w:szCs w:val="24"/>
          <w:lang w:eastAsia="sr-RS" w:val="sr-RS"/>
        </w:rPr>
        <w:t xml:space="preserve"> (''Сл. Гласник РС'', бр. 30/2010, 93/2012, 101/2016, 95/2018 i 95/2018 - др.закон)</w:t>
      </w:r>
    </w:p>
    <w:p>
      <w:pPr>
        <w:pStyle w:val="style0"/>
        <w:suppressLineNumbers/>
        <w:spacing w:after="0" w:before="0" w:line="100" w:lineRule="atLeast"/>
        <w:jc w:val="both"/>
      </w:pPr>
      <w:r>
        <w:rPr>
          <w:rFonts w:ascii="Times New Roman" w:eastAsia="Times New Roman" w:hAnsi="Times New Roman"/>
          <w:sz w:val="24"/>
          <w:szCs w:val="24"/>
          <w:lang w:eastAsia="sr-RS" w:val="sr-RS"/>
        </w:rPr>
        <w:t xml:space="preserve">Закон о инспекцијском надзору </w:t>
      </w:r>
      <w:r>
        <w:rPr>
          <w:rFonts w:ascii="Times New Roman" w:cs="Times New Roman" w:eastAsia="Times New Roman" w:hAnsi="Times New Roman"/>
          <w:sz w:val="24"/>
          <w:szCs w:val="24"/>
          <w:lang w:eastAsia="sr-RS" w:val="sr-RS"/>
        </w:rPr>
        <w:t>(''Сл.гласник РС'', бр 36/15, 44/48- др закон и 95/18-др закон)</w:t>
      </w:r>
    </w:p>
    <w:p>
      <w:pPr>
        <w:pStyle w:val="style0"/>
        <w:suppressLineNumbers/>
        <w:spacing w:after="0" w:before="0" w:line="100" w:lineRule="atLeast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sr-RS" w:val="ru-RU"/>
        </w:rPr>
        <w:t>У</w:t>
      </w:r>
      <w:r>
        <w:rPr>
          <w:rFonts w:ascii="Times New Roman" w:eastAsia="Times New Roman" w:hAnsi="Times New Roman"/>
          <w:b/>
          <w:bCs/>
          <w:sz w:val="24"/>
          <w:szCs w:val="24"/>
          <w:lang w:eastAsia="sr-RS" w:val="sr-RS"/>
        </w:rPr>
        <w:t xml:space="preserve">редба </w:t>
      </w:r>
      <w:r>
        <w:rPr>
          <w:rFonts w:ascii="Times New Roman" w:eastAsia="Times New Roman" w:hAnsi="Times New Roman"/>
          <w:b/>
          <w:bCs/>
          <w:sz w:val="24"/>
          <w:szCs w:val="24"/>
          <w:lang w:eastAsia="sr-RS" w:val="ru-RU"/>
        </w:rPr>
        <w:t>о граничним вредностима емисије загађујућих материја у вод</w:t>
      </w:r>
      <w:r>
        <w:rPr>
          <w:rFonts w:ascii="Times New Roman" w:eastAsia="Times New Roman" w:hAnsi="Times New Roman"/>
          <w:b/>
          <w:bCs/>
          <w:sz w:val="24"/>
          <w:szCs w:val="24"/>
          <w:lang w:eastAsia="sr-RS"/>
        </w:rPr>
        <w:t>e</w:t>
      </w:r>
      <w:r>
        <w:rPr>
          <w:rFonts w:ascii="Times New Roman" w:eastAsia="Times New Roman" w:hAnsi="Times New Roman"/>
          <w:b/>
          <w:bCs/>
          <w:sz w:val="24"/>
          <w:szCs w:val="24"/>
          <w:lang w:eastAsia="sr-RS" w:val="ru-RU"/>
        </w:rPr>
        <w:t xml:space="preserve"> и роковима за њихово достизање</w:t>
      </w:r>
      <w:r>
        <w:rPr>
          <w:rFonts w:ascii="Times New Roman" w:eastAsia="Times New Roman" w:hAnsi="Times New Roman"/>
          <w:b/>
          <w:bCs/>
          <w:sz w:val="24"/>
          <w:szCs w:val="24"/>
          <w:lang w:eastAsia="sr-RS" w:val="sr-RS"/>
        </w:rPr>
        <w:t xml:space="preserve"> </w:t>
      </w: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sr-RS" w:val="sr-RS"/>
        </w:rPr>
        <w:t>(</w:t>
      </w:r>
      <w:r>
        <w:rPr>
          <w:rFonts w:ascii="Times New Roman" w:cs="Times New Roman" w:hAnsi="Times New Roman"/>
          <w:sz w:val="24"/>
          <w:szCs w:val="24"/>
          <w:lang w:val="ru-RU"/>
        </w:rPr>
        <w:t>"Сл</w:t>
      </w:r>
      <w:r>
        <w:rPr>
          <w:rFonts w:ascii="Times New Roman" w:cs="Times New Roman" w:hAnsi="Times New Roman"/>
          <w:sz w:val="24"/>
          <w:szCs w:val="24"/>
          <w:lang w:val="sr-RS"/>
        </w:rPr>
        <w:t>.</w:t>
      </w:r>
      <w:r>
        <w:rPr>
          <w:rFonts w:ascii="Times New Roman" w:cs="Times New Roman" w:hAnsi="Times New Roman"/>
          <w:sz w:val="24"/>
          <w:szCs w:val="24"/>
          <w:lang w:val="ru-RU"/>
        </w:rPr>
        <w:t xml:space="preserve"> гласник РС", бр. 67/11, </w:t>
      </w:r>
      <w:r>
        <w:rPr>
          <w:rFonts w:ascii="Times New Roman" w:cs="Times New Roman" w:hAnsi="Times New Roman"/>
          <w:sz w:val="24"/>
          <w:szCs w:val="24"/>
          <w:lang w:val="sr-RS"/>
        </w:rPr>
        <w:t>48/12</w:t>
      </w:r>
      <w:r>
        <w:rPr>
          <w:rFonts w:ascii="Times New Roman" w:cs="Times New Roman" w:hAnsi="Times New Roman"/>
          <w:sz w:val="24"/>
          <w:szCs w:val="24"/>
          <w:lang w:val="ru-RU"/>
        </w:rPr>
        <w:t>, 1/16)</w:t>
      </w:r>
    </w:p>
    <w:p>
      <w:pPr>
        <w:pStyle w:val="style0"/>
        <w:suppressLineNumbers/>
        <w:spacing w:after="0" w:before="0" w:line="100" w:lineRule="atLeast"/>
        <w:jc w:val="both"/>
      </w:pPr>
      <w:r>
        <w:rPr>
          <w:rFonts w:ascii="Times New Roman" w:eastAsia="Times New Roman" w:hAnsi="Times New Roman"/>
          <w:sz w:val="24"/>
          <w:szCs w:val="24"/>
          <w:lang w:eastAsia="sr-RS" w:val="sr-RS"/>
        </w:rPr>
      </w:r>
    </w:p>
    <w:p>
      <w:pPr>
        <w:pStyle w:val="style0"/>
        <w:suppressLineNumbers/>
        <w:spacing w:after="0" w:before="0" w:line="100" w:lineRule="atLeast"/>
        <w:jc w:val="both"/>
      </w:pPr>
      <w:r>
        <w:rPr>
          <w:rFonts w:ascii="Times New Roman" w:eastAsia="Times New Roman" w:hAnsi="Times New Roman"/>
          <w:sz w:val="24"/>
          <w:szCs w:val="24"/>
          <w:lang w:eastAsia="sr-RS" w:val="sr-RS"/>
        </w:rPr>
      </w:r>
    </w:p>
    <w:p>
      <w:pPr>
        <w:pStyle w:val="style0"/>
        <w:suppressLineNumbers/>
        <w:spacing w:after="0" w:before="0" w:line="100" w:lineRule="atLeast"/>
        <w:jc w:val="both"/>
      </w:pPr>
      <w:r>
        <w:rPr>
          <w:rFonts w:ascii="Times New Roman" w:cs="Times New Roman" w:eastAsia="Calibri" w:hAnsi="Times New Roman"/>
          <w:sz w:val="24"/>
          <w:szCs w:val="24"/>
          <w:lang w:val="ru-RU"/>
        </w:rPr>
      </w:r>
    </w:p>
    <w:p>
      <w:pPr>
        <w:pStyle w:val="style0"/>
        <w:spacing w:after="0" w:before="0" w:line="100" w:lineRule="atLeast"/>
      </w:pPr>
      <w:r>
        <w:rPr>
          <w:rFonts w:ascii="Times New Roman" w:cs="Times New Roman" w:eastAsia="Calibri" w:hAnsi="Times New Roman"/>
          <w:sz w:val="24"/>
          <w:szCs w:val="24"/>
          <w:lang w:val="sr-RS"/>
        </w:rPr>
        <w:t>Табела А</w:t>
      </w:r>
    </w:p>
    <w:tbl>
      <w:tblPr>
        <w:jc w:val="center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5226"/>
      </w:tblGrid>
      <w:tr>
        <w:trPr>
          <w:trHeight w:hRule="atLeast" w:val="417"/>
          <w:cantSplit w:val="false"/>
        </w:trPr>
        <w:tc>
          <w:tcPr>
            <w:tcW w:type="dxa" w:w="5226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sr-RS" w:val="sr-RS"/>
              </w:rPr>
              <w:t>Подаци о надзираном субјекту</w:t>
            </w:r>
          </w:p>
        </w:tc>
      </w:tr>
      <w:tr>
        <w:trPr>
          <w:trHeight w:hRule="atLeast" w:val="399"/>
          <w:cantSplit w:val="false"/>
        </w:trPr>
        <w:tc>
          <w:tcPr>
            <w:tcW w:type="dxa" w:w="52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bCs/>
                <w:sz w:val="24"/>
                <w:szCs w:val="24"/>
                <w:lang w:val="sr-RS"/>
              </w:rPr>
              <w:t>Назив правног лица/предузетника</w:t>
            </w:r>
          </w:p>
        </w:tc>
        <w:tc>
          <w:tcPr>
            <w:tcW w:type="dxa" w:w="51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en-US"/>
              </w:rPr>
            </w:r>
          </w:p>
        </w:tc>
      </w:tr>
      <w:tr>
        <w:trPr>
          <w:trHeight w:hRule="atLeast" w:val="390"/>
          <w:cantSplit w:val="false"/>
        </w:trPr>
        <w:tc>
          <w:tcPr>
            <w:tcW w:type="dxa" w:w="52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bCs/>
                <w:sz w:val="24"/>
                <w:szCs w:val="24"/>
                <w:lang w:val="sr-RS"/>
              </w:rPr>
              <w:t xml:space="preserve">Општина и место седишта </w:t>
            </w:r>
          </w:p>
        </w:tc>
        <w:tc>
          <w:tcPr>
            <w:tcW w:type="dxa" w:w="51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en-US"/>
              </w:rPr>
            </w:r>
          </w:p>
        </w:tc>
      </w:tr>
      <w:tr>
        <w:trPr>
          <w:trHeight w:hRule="atLeast" w:val="372"/>
          <w:cantSplit w:val="false"/>
        </w:trPr>
        <w:tc>
          <w:tcPr>
            <w:tcW w:type="dxa" w:w="52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bCs/>
                <w:sz w:val="24"/>
                <w:szCs w:val="24"/>
                <w:lang w:val="sr-RS"/>
              </w:rPr>
              <w:t xml:space="preserve">Матични број </w:t>
            </w:r>
          </w:p>
        </w:tc>
        <w:tc>
          <w:tcPr>
            <w:tcW w:type="dxa" w:w="51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en-US"/>
              </w:rPr>
            </w:r>
          </w:p>
        </w:tc>
      </w:tr>
      <w:tr>
        <w:trPr>
          <w:trHeight w:hRule="atLeast" w:val="354"/>
          <w:cantSplit w:val="false"/>
        </w:trPr>
        <w:tc>
          <w:tcPr>
            <w:tcW w:type="dxa" w:w="52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bCs/>
                <w:sz w:val="24"/>
                <w:szCs w:val="24"/>
                <w:lang w:val="sr-RS"/>
              </w:rPr>
              <w:t>ПИБ</w:t>
            </w:r>
          </w:p>
        </w:tc>
        <w:tc>
          <w:tcPr>
            <w:tcW w:type="dxa" w:w="51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en-US"/>
              </w:rPr>
            </w:r>
          </w:p>
        </w:tc>
      </w:tr>
      <w:tr>
        <w:trPr>
          <w:trHeight w:hRule="atLeast" w:val="345"/>
          <w:cantSplit w:val="false"/>
        </w:trPr>
        <w:tc>
          <w:tcPr>
            <w:tcW w:type="dxa" w:w="52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bCs/>
                <w:sz w:val="24"/>
                <w:szCs w:val="24"/>
                <w:lang w:val="sr-RS"/>
              </w:rPr>
              <w:t>Име особе за контакт</w:t>
            </w:r>
          </w:p>
        </w:tc>
        <w:tc>
          <w:tcPr>
            <w:tcW w:type="dxa" w:w="51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en-US"/>
              </w:rPr>
            </w:r>
          </w:p>
        </w:tc>
      </w:tr>
      <w:tr>
        <w:trPr>
          <w:trHeight w:hRule="atLeast" w:val="327"/>
          <w:cantSplit w:val="false"/>
        </w:trPr>
        <w:tc>
          <w:tcPr>
            <w:tcW w:type="dxa" w:w="52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bCs/>
                <w:sz w:val="24"/>
                <w:szCs w:val="24"/>
                <w:lang w:val="sr-RS"/>
              </w:rPr>
              <w:t>Телефон и електронска адреса контакт особе</w:t>
            </w:r>
          </w:p>
        </w:tc>
        <w:tc>
          <w:tcPr>
            <w:tcW w:type="dxa" w:w="51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</w:r>
          </w:p>
        </w:tc>
      </w:tr>
    </w:tbl>
    <w:p>
      <w:pPr>
        <w:pStyle w:val="style0"/>
        <w:spacing w:after="0" w:before="0" w:line="100" w:lineRule="atLeast"/>
      </w:pPr>
      <w:r>
        <w:rPr>
          <w:rFonts w:ascii="Times New Roman" w:cs="Times New Roman" w:eastAsia="Calibri" w:hAnsi="Times New Roman"/>
          <w:sz w:val="24"/>
          <w:szCs w:val="24"/>
          <w:lang w:val="ru-RU"/>
        </w:rPr>
      </w:r>
    </w:p>
    <w:p>
      <w:pPr>
        <w:pStyle w:val="style0"/>
        <w:spacing w:after="0" w:before="0" w:line="100" w:lineRule="atLeast"/>
      </w:pPr>
      <w:r>
        <w:rPr>
          <w:rFonts w:ascii="Times New Roman" w:cs="Times New Roman" w:eastAsia="Calibri" w:hAnsi="Times New Roman"/>
          <w:sz w:val="24"/>
          <w:szCs w:val="24"/>
          <w:lang w:val="ru-RU"/>
        </w:rPr>
      </w:r>
    </w:p>
    <w:p>
      <w:pPr>
        <w:pStyle w:val="style0"/>
        <w:spacing w:after="0" w:before="0" w:line="100" w:lineRule="atLeast"/>
      </w:pPr>
      <w:r>
        <w:rPr>
          <w:rFonts w:ascii="Times New Roman" w:cs="Times New Roman" w:eastAsia="Calibri" w:hAnsi="Times New Roman"/>
          <w:sz w:val="24"/>
          <w:szCs w:val="24"/>
          <w:lang w:val="sr-RS"/>
        </w:rPr>
        <w:t>Табела Б</w:t>
      </w:r>
    </w:p>
    <w:tbl>
      <w:tblPr>
        <w:jc w:val="center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3498"/>
      </w:tblGrid>
      <w:tr>
        <w:trPr>
          <w:trHeight w:hRule="atLeast" w:val="372"/>
          <w:cantSplit w:val="false"/>
        </w:trPr>
        <w:tc>
          <w:tcPr>
            <w:tcW w:type="dxa" w:w="3498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sr-RS" w:val="sr-RS"/>
              </w:rPr>
              <w:t>Статус правног лица, предузетника</w:t>
            </w:r>
          </w:p>
        </w:tc>
      </w:tr>
      <w:tr>
        <w:trPr>
          <w:trHeight w:hRule="atLeast" w:val="444"/>
          <w:cantSplit w:val="false"/>
        </w:trPr>
        <w:tc>
          <w:tcPr>
            <w:tcW w:type="dxa" w:w="68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 xml:space="preserve">Да ли је правно лице, предузетник регистрован у АПР-у </w:t>
            </w:r>
          </w:p>
        </w:tc>
        <w:tc>
          <w:tcPr>
            <w:tcW w:type="dxa" w:w="21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 xml:space="preserve">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>ДА</w:t>
            </w:r>
          </w:p>
        </w:tc>
        <w:tc>
          <w:tcPr>
            <w:tcW w:type="dxa" w:w="14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 xml:space="preserve">НЕ </w:t>
            </w:r>
            <w:r>
              <w:rPr>
                <w:rFonts w:ascii="Times New Roman" w:cs="Times New Roman" w:eastAsia="Calibri" w:hAnsi="Times New Roman"/>
                <w:b/>
                <w:sz w:val="24"/>
                <w:szCs w:val="24"/>
                <w:lang w:val="sr-RS"/>
              </w:rPr>
              <w:t>*</w:t>
            </w:r>
          </w:p>
        </w:tc>
      </w:tr>
      <w:tr>
        <w:trPr>
          <w:trHeight w:hRule="atLeast" w:val="660"/>
          <w:cantSplit w:val="false"/>
        </w:trPr>
        <w:tc>
          <w:tcPr>
            <w:tcW w:type="dxa" w:w="3498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 xml:space="preserve">* </w:t>
            </w:r>
            <w:r>
              <w:rPr>
                <w:rFonts w:ascii="Times New Roman" w:cs="Times New Roman" w:eastAsia="Calibri" w:hAnsi="Times New Roman"/>
                <w:b/>
                <w:sz w:val="24"/>
                <w:szCs w:val="24"/>
                <w:lang w:val="sr-RS"/>
              </w:rPr>
              <w:t>Правно лице, предузетник за који је одговор „НЕ“, сматра се нерегистрованим и надзор се врши у складу са одредбом члана 33. Закона о инспекцијском надзору</w:t>
            </w:r>
          </w:p>
        </w:tc>
      </w:tr>
    </w:tbl>
    <w:p>
      <w:pPr>
        <w:pStyle w:val="style0"/>
        <w:spacing w:after="0" w:before="0" w:line="100" w:lineRule="atLeast"/>
      </w:pPr>
      <w:r>
        <w:rPr>
          <w:rFonts w:ascii="Times New Roman" w:cs="Times New Roman" w:eastAsia="Times New Roman" w:hAnsi="Times New Roman"/>
          <w:iCs/>
          <w:smallCaps/>
          <w:sz w:val="24"/>
          <w:szCs w:val="24"/>
          <w:lang w:eastAsia="en-US" w:val="sr-RS"/>
        </w:rPr>
        <w:tab/>
      </w:r>
    </w:p>
    <w:tbl>
      <w:tblPr>
        <w:jc w:val="center"/>
        <w:tblBorders/>
      </w:tblPr>
      <w:tblGrid>
        <w:gridCol w:w="711"/>
        <w:gridCol w:w="7510"/>
        <w:gridCol w:w="2269"/>
      </w:tblGrid>
      <w:tr>
        <w:trPr>
          <w:cantSplit w:val="true"/>
        </w:trPr>
        <w:tc>
          <w:tcPr>
            <w:tcW w:type="dxa" w:w="711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sr-RS" w:val="sr-RS"/>
              </w:rPr>
              <w:t>Р.бр.</w:t>
            </w:r>
          </w:p>
        </w:tc>
        <w:tc>
          <w:tcPr>
            <w:tcW w:type="dxa" w:w="7510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sr-RS" w:val="en-US"/>
              </w:rPr>
            </w:r>
          </w:p>
        </w:tc>
        <w:tc>
          <w:tcPr>
            <w:tcW w:type="dxa" w:w="226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 w:val="sr-RS"/>
              </w:rPr>
            </w:r>
          </w:p>
        </w:tc>
      </w:tr>
      <w:tr>
        <w:trPr>
          <w:cantSplit w:val="true"/>
        </w:trPr>
        <w:tc>
          <w:tcPr>
            <w:tcW w:type="dxa" w:w="711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sr-RS" w:val="sr-RS"/>
              </w:rPr>
              <w:t>Б1</w:t>
            </w:r>
          </w:p>
        </w:tc>
        <w:tc>
          <w:tcPr>
            <w:tcW w:type="dxa" w:w="7510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sr-RS"/>
              </w:rPr>
              <w:t xml:space="preserve">Да ли  је донет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sr-RS"/>
              </w:rPr>
              <w:t>кциони план за постепено достизање граничних вредности емисије загађујућих материја у воде или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>п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sr-RS"/>
              </w:rPr>
              <w:t>рограм мера прилагођавања рада постројења?</w:t>
            </w:r>
          </w:p>
        </w:tc>
        <w:tc>
          <w:tcPr>
            <w:tcW w:type="dxa" w:w="226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Segoe UI Symbol" w:cs="Segoe UI Symbol" w:eastAsia="MS Gothic" w:hAnsi="Segoe UI Symbol"/>
                <w:sz w:val="24"/>
                <w:szCs w:val="24"/>
                <w:lang w:val="sr-RS"/>
              </w:rPr>
              <w:t>☐</w:t>
            </w: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>ДА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>НЕ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  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>НП</w:t>
            </w:r>
            <w:r>
              <w:rPr>
                <w:rStyle w:val="style32"/>
              </w:rPr>
              <w:footnoteReference w:id="2"/>
            </w:r>
          </w:p>
        </w:tc>
      </w:tr>
      <w:tr>
        <w:trPr>
          <w:cantSplit w:val="true"/>
        </w:trPr>
        <w:tc>
          <w:tcPr>
            <w:tcW w:type="dxa" w:w="711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sr-RS" w:val="sr-RS"/>
              </w:rPr>
              <w:t>Б2</w:t>
            </w:r>
          </w:p>
        </w:tc>
        <w:tc>
          <w:tcPr>
            <w:tcW w:type="dxa" w:w="7510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sr-RS"/>
              </w:rPr>
              <w:t xml:space="preserve">Да ли  се поступа у складу са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sr-RS"/>
              </w:rPr>
              <w:t>кционим планом за постепено достизање граничних вредности емисије загађујућих материја у воде или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>п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sr-RS"/>
              </w:rPr>
              <w:t>рограмом мера прилагођавања рада постројења?</w:t>
            </w:r>
          </w:p>
        </w:tc>
        <w:tc>
          <w:tcPr>
            <w:tcW w:type="dxa" w:w="226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Segoe UI Symbol" w:cs="Segoe UI Symbol" w:eastAsia="MS Gothic" w:hAnsi="Segoe UI Symbol"/>
                <w:sz w:val="24"/>
                <w:szCs w:val="24"/>
                <w:lang w:val="sr-RS"/>
              </w:rPr>
              <w:t>☐</w:t>
            </w: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>ДА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>НЕ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  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>НП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rPr>
          <w:cantSplit w:val="true"/>
        </w:trPr>
        <w:tc>
          <w:tcPr>
            <w:tcW w:type="dxa" w:w="711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sr-RS" w:val="sr-RS"/>
              </w:rPr>
              <w:t>Б3</w:t>
            </w:r>
          </w:p>
        </w:tc>
        <w:tc>
          <w:tcPr>
            <w:tcW w:type="dxa" w:w="7510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sr-RS" w:val="sr-RS"/>
              </w:rPr>
              <w:t>Да ли је извештај о спровођену акционог плана поднет министарству надлежном за послове заштите животне средине и водопривреде, сваке две године од дана доношења Акционог плана?</w:t>
            </w:r>
          </w:p>
        </w:tc>
        <w:tc>
          <w:tcPr>
            <w:tcW w:type="dxa" w:w="226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Segoe UI Symbol" w:cs="Segoe UI Symbol" w:eastAsia="MS Gothic" w:hAnsi="Segoe UI Symbol"/>
                <w:sz w:val="24"/>
                <w:szCs w:val="24"/>
                <w:lang w:val="sr-RS"/>
              </w:rPr>
              <w:t>☐</w:t>
            </w: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>ДА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>НЕ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  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>НП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rPr>
          <w:cantSplit w:val="true"/>
        </w:trPr>
        <w:tc>
          <w:tcPr>
            <w:tcW w:type="dxa" w:w="711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sr-RS" w:val="sr-RS"/>
              </w:rPr>
              <w:t>Б4</w:t>
            </w:r>
          </w:p>
        </w:tc>
        <w:tc>
          <w:tcPr>
            <w:tcW w:type="dxa" w:w="7510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sr-RS" w:val="sr-RS"/>
              </w:rPr>
              <w:t>Да ли испуштене отпадне воде и отпадне воде које се после пречишћавања испуштају у реципијент испуњавају услове у погледу прописаних граничних вредности?</w:t>
            </w:r>
          </w:p>
        </w:tc>
        <w:tc>
          <w:tcPr>
            <w:tcW w:type="dxa" w:w="226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Segoe UI Symbol" w:cs="Segoe UI Symbol" w:eastAsia="MS Gothic" w:hAnsi="Segoe UI Symbol"/>
                <w:sz w:val="24"/>
                <w:szCs w:val="24"/>
                <w:lang w:val="sr-RS"/>
              </w:rPr>
              <w:t>☐</w:t>
            </w: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>ДА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>НЕ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  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>Делимично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>НП</w:t>
            </w:r>
          </w:p>
        </w:tc>
      </w:tr>
      <w:tr>
        <w:trPr>
          <w:cantSplit w:val="true"/>
        </w:trPr>
        <w:tc>
          <w:tcPr>
            <w:tcW w:type="dxa" w:w="711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sr-RS" w:val="sr-RS"/>
              </w:rPr>
              <w:t>Б5</w:t>
            </w:r>
          </w:p>
        </w:tc>
        <w:tc>
          <w:tcPr>
            <w:tcW w:type="dxa" w:w="7510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sr-RS" w:val="sr-RS"/>
              </w:rPr>
              <w:t>Да ли се у површинске воде уносе отпадне воде које садрже хазардне и загађујуће супстанце изнад прописаних граничних вредности емисија које могу довести до погоршања тренутног стања?</w:t>
            </w:r>
          </w:p>
        </w:tc>
        <w:tc>
          <w:tcPr>
            <w:tcW w:type="dxa" w:w="226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Segoe UI Symbol" w:cs="Segoe UI Symbol" w:eastAsia="MS Gothic" w:hAnsi="Segoe UI Symbol"/>
                <w:sz w:val="24"/>
                <w:szCs w:val="24"/>
                <w:lang w:val="sr-RS"/>
              </w:rPr>
              <w:t>☐</w:t>
            </w: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>ДА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>НЕ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 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НП </w:t>
            </w:r>
          </w:p>
        </w:tc>
      </w:tr>
      <w:tr>
        <w:trPr>
          <w:cantSplit w:val="true"/>
        </w:trPr>
        <w:tc>
          <w:tcPr>
            <w:tcW w:type="dxa" w:w="711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sr-RS" w:val="sr-RS"/>
              </w:rPr>
              <w:t>Б6</w:t>
            </w:r>
          </w:p>
        </w:tc>
        <w:tc>
          <w:tcPr>
            <w:tcW w:type="dxa" w:w="7510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sr-RS" w:val="sr-RS"/>
              </w:rPr>
              <w:t>Да ли се отпадне воде испуштају у стајаће воде, ако је та вода у контакту са подземном водом, која може проузроковати угрожавање доброг еколошкох или хемијског статуса стајаће воде?</w:t>
            </w:r>
          </w:p>
        </w:tc>
        <w:tc>
          <w:tcPr>
            <w:tcW w:type="dxa" w:w="226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Segoe UI Symbol" w:cs="Segoe UI Symbol" w:eastAsia="MS Gothic" w:hAnsi="Segoe UI Symbol"/>
                <w:sz w:val="24"/>
                <w:szCs w:val="24"/>
                <w:lang w:val="sr-RS"/>
              </w:rPr>
              <w:t>☐</w:t>
            </w: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>ДА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>НЕ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  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>НП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rPr>
          <w:cantSplit w:val="true"/>
        </w:trPr>
        <w:tc>
          <w:tcPr>
            <w:tcW w:type="dxa" w:w="711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sr-RS" w:val="sr-RS"/>
              </w:rPr>
              <w:t>Б7</w:t>
            </w:r>
          </w:p>
        </w:tc>
        <w:tc>
          <w:tcPr>
            <w:tcW w:type="dxa" w:w="7510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sr-RS" w:val="sr-RS"/>
              </w:rPr>
              <w:t>Да ли се испушта прекомерно термички загађена вода?</w:t>
            </w:r>
          </w:p>
        </w:tc>
        <w:tc>
          <w:tcPr>
            <w:tcW w:type="dxa" w:w="226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Segoe UI Symbol" w:cs="Segoe UI Symbol" w:eastAsia="MS Gothic" w:hAnsi="Segoe UI Symbol"/>
                <w:sz w:val="24"/>
                <w:szCs w:val="24"/>
                <w:lang w:val="sr-RS"/>
              </w:rPr>
              <w:t>☐</w:t>
            </w: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>ДА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>НЕ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  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>НП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rPr>
          <w:cantSplit w:val="true"/>
        </w:trPr>
        <w:tc>
          <w:tcPr>
            <w:tcW w:type="dxa" w:w="711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sr-RS" w:val="sr-RS"/>
              </w:rPr>
              <w:t>Б8</w:t>
            </w:r>
          </w:p>
        </w:tc>
        <w:tc>
          <w:tcPr>
            <w:tcW w:type="dxa" w:w="7510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sr-RS" w:val="sr-RS"/>
              </w:rPr>
              <w:t>Да ли се у јавну канализацију испуштају отпадне воде које садрже хазардне супстанце?</w:t>
            </w:r>
          </w:p>
        </w:tc>
        <w:tc>
          <w:tcPr>
            <w:tcW w:type="dxa" w:w="226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Segoe UI Symbol" w:cs="Segoe UI Symbol" w:eastAsia="MS Gothic" w:hAnsi="Segoe UI Symbol"/>
                <w:sz w:val="24"/>
                <w:szCs w:val="24"/>
                <w:lang w:val="sr-RS"/>
              </w:rPr>
              <w:t>☐</w:t>
            </w: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>ДА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>НЕ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  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>НП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rPr>
          <w:cantSplit w:val="true"/>
        </w:trPr>
        <w:tc>
          <w:tcPr>
            <w:tcW w:type="dxa" w:w="711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sr-RS" w:val="sr-RS"/>
              </w:rPr>
              <w:t>Б9</w:t>
            </w:r>
          </w:p>
        </w:tc>
        <w:tc>
          <w:tcPr>
            <w:tcW w:type="dxa" w:w="7510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sr-RS" w:val="sr-RS"/>
              </w:rPr>
              <w:t>Да ли лице које испушта отпадне воде има постављен уређај за мерење и континуирано мери количине отпадних вода, да ли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sr-RS" w:val="sr-RS"/>
              </w:rPr>
              <w:t>испитује параметре квалитета отпадних вода и да ли извештај о извршеним мерењима доставља јавном водопривредном предузећу,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sr-RS" w:val="sr-RS"/>
              </w:rPr>
              <w:t>министарству надлежном за послове заштите животне средине и органу управе надлежног за спровођење државног мониторинга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sr-RS" w:val="sr-RS"/>
              </w:rPr>
              <w:t>квалитета воде</w:t>
            </w:r>
          </w:p>
        </w:tc>
        <w:tc>
          <w:tcPr>
            <w:tcW w:type="dxa" w:w="226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Segoe UI Symbol" w:cs="Segoe UI Symbol" w:eastAsia="MS Gothic" w:hAnsi="Segoe UI Symbol"/>
                <w:sz w:val="24"/>
                <w:szCs w:val="24"/>
                <w:lang w:val="sr-RS"/>
              </w:rPr>
              <w:t>☐</w:t>
            </w: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>ДА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>НЕ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ascii="Segoe UI Symbol" w:cs="Segoe UI Symbol" w:eastAsia="MS Gothic" w:hAnsi="Segoe UI Symbol"/>
                <w:sz w:val="24"/>
                <w:szCs w:val="24"/>
                <w:lang w:val="sr-RS"/>
              </w:rPr>
              <w:t>☐</w:t>
            </w: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Делимично 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>НП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rPr>
          <w:cantSplit w:val="true"/>
        </w:trPr>
        <w:tc>
          <w:tcPr>
            <w:tcW w:type="dxa" w:w="711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sr-RS" w:val="sr-RS"/>
              </w:rPr>
              <w:t>Б10</w:t>
            </w:r>
          </w:p>
        </w:tc>
        <w:tc>
          <w:tcPr>
            <w:tcW w:type="dxa" w:w="7510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sr-RS" w:val="sr-RS"/>
              </w:rPr>
              <w:t>Да ли лице које има уређаје, објекте, односно, постројења за пречишћавање отпадних вода, мери количине и испитује квалитет отпадних вода пре и после пречишћавања, да ли је обезбедило редовно функционисање уређаја, објеката, односно, постројења за пречишћавање отпадних вода и да ли води дневник њиховог рада?</w:t>
            </w:r>
          </w:p>
        </w:tc>
        <w:tc>
          <w:tcPr>
            <w:tcW w:type="dxa" w:w="226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Segoe UI Symbol" w:cs="Segoe UI Symbol" w:eastAsia="MS Gothic" w:hAnsi="Segoe UI Symbol"/>
                <w:sz w:val="24"/>
                <w:szCs w:val="24"/>
                <w:lang w:val="sr-RS"/>
              </w:rPr>
              <w:t>☐</w:t>
            </w: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>ДА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>НЕ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  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>Делимично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>НП</w:t>
            </w:r>
          </w:p>
        </w:tc>
      </w:tr>
    </w:tbl>
    <w:p>
      <w:pPr>
        <w:pStyle w:val="style0"/>
        <w:spacing w:after="0" w:before="0" w:line="100" w:lineRule="atLeast"/>
      </w:pPr>
      <w:r>
        <w:rPr>
          <w:rFonts w:ascii="Times New Roman" w:cs="Times New Roman" w:hAnsi="Times New Roman"/>
          <w:w w:val="90"/>
          <w:sz w:val="24"/>
          <w:szCs w:val="24"/>
          <w:lang w:val="en-US"/>
        </w:rPr>
      </w:r>
    </w:p>
    <w:p>
      <w:pPr>
        <w:pStyle w:val="style0"/>
        <w:spacing w:after="0" w:before="0" w:line="100" w:lineRule="atLeast"/>
      </w:pPr>
      <w:r>
        <w:rPr>
          <w:rFonts w:ascii="Times New Roman" w:cs="Times New Roman" w:hAnsi="Times New Roman"/>
          <w:w w:val="90"/>
          <w:sz w:val="24"/>
          <w:szCs w:val="24"/>
          <w:lang w:val="en-US"/>
        </w:rPr>
      </w:r>
    </w:p>
    <w:tbl>
      <w:tblPr>
        <w:jc w:val="center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748"/>
        <w:gridCol w:w="311"/>
      </w:tblGrid>
      <w:tr>
        <w:trPr>
          <w:cantSplit w:val="false"/>
        </w:trPr>
        <w:tc>
          <w:tcPr>
            <w:tcW w:type="dxa" w:w="6748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overflowPunct w:val="true"/>
              <w:spacing w:after="0" w:before="0" w:line="100" w:lineRule="atLeast"/>
              <w:jc w:val="center"/>
            </w:pPr>
            <w:r>
              <w:rPr>
                <w:rFonts w:ascii="Times New Roman" w:cs="Times New Roman" w:hAnsi="Times New Roman"/>
                <w:bCs/>
                <w:sz w:val="24"/>
                <w:szCs w:val="24"/>
                <w:lang w:val="sr-RS"/>
              </w:rPr>
              <w:t>П</w:t>
            </w: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>редставници</w:t>
            </w:r>
            <w:r>
              <w:rPr>
                <w:rFonts w:ascii="Times New Roman" w:cs="Times New Roman" w:hAnsi="Times New Roman"/>
                <w:bCs/>
                <w:sz w:val="24"/>
                <w:szCs w:val="24"/>
                <w:lang w:val="sr-RS"/>
              </w:rPr>
              <w:t xml:space="preserve"> правног лица, предузетника, друго лице:</w:t>
            </w:r>
          </w:p>
        </w:tc>
        <w:tc>
          <w:tcPr>
            <w:tcW w:type="dxa" w:w="3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overflowPunct w:val="true"/>
              <w:spacing w:after="0" w:before="0" w:line="100" w:lineRule="atLeast"/>
              <w:jc w:val="center"/>
            </w:pPr>
            <w:r>
              <w:rPr>
                <w:rFonts w:ascii="Times New Roman" w:cs="Times New Roman" w:hAnsi="Times New Roman"/>
                <w:bCs/>
                <w:sz w:val="24"/>
                <w:szCs w:val="24"/>
                <w:lang w:eastAsia="de-DE" w:val="sr-RS"/>
              </w:rPr>
              <w:t>Инспектори за заштиту животне средине</w:t>
            </w:r>
            <w:r>
              <w:rPr>
                <w:rFonts w:ascii="Times New Roman" w:cs="Times New Roman" w:hAnsi="Times New Roman"/>
                <w:bCs/>
                <w:sz w:val="24"/>
                <w:szCs w:val="24"/>
                <w:lang w:eastAsia="de-DE" w:val="ru-RU"/>
              </w:rPr>
              <w:t>:</w:t>
            </w:r>
          </w:p>
        </w:tc>
      </w:tr>
      <w:tr>
        <w:trPr>
          <w:cantSplit w:val="false"/>
        </w:trPr>
        <w:tc>
          <w:tcPr>
            <w:tcW w:type="dxa" w:w="32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overflowPunct w:val="true"/>
              <w:spacing w:after="0" w:before="0" w:line="100" w:lineRule="atLeast"/>
              <w:jc w:val="center"/>
            </w:pPr>
            <w:r>
              <w:rPr>
                <w:rFonts w:ascii="Times New Roman" w:cs="Times New Roman" w:hAnsi="Times New Roman"/>
                <w:bCs/>
                <w:sz w:val="24"/>
                <w:szCs w:val="24"/>
                <w:lang w:eastAsia="de-DE" w:val="sr-RS"/>
              </w:rPr>
              <w:t>Име и презиме</w:t>
            </w: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>:</w:t>
            </w:r>
          </w:p>
        </w:tc>
        <w:tc>
          <w:tcPr>
            <w:tcW w:type="dxa" w:w="34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overflowPunct w:val="true"/>
              <w:spacing w:after="0" w:before="0" w:line="100" w:lineRule="atLeast"/>
              <w:jc w:val="center"/>
            </w:pPr>
            <w:r>
              <w:rPr>
                <w:rFonts w:ascii="Times New Roman" w:cs="Times New Roman" w:hAnsi="Times New Roman"/>
                <w:bCs/>
                <w:sz w:val="24"/>
                <w:szCs w:val="24"/>
                <w:lang w:eastAsia="de-DE" w:val="sr-RS"/>
              </w:rPr>
              <w:t>Радно место</w:t>
            </w:r>
            <w:r>
              <w:rPr>
                <w:rFonts w:ascii="Times New Roman" w:cs="Times New Roman" w:hAnsi="Times New Roman"/>
                <w:bCs/>
                <w:sz w:val="24"/>
                <w:szCs w:val="24"/>
                <w:lang w:eastAsia="de-DE"/>
              </w:rPr>
              <w:t>:</w:t>
            </w:r>
          </w:p>
        </w:tc>
        <w:tc>
          <w:tcPr>
            <w:tcW w:type="dxa" w:w="38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overflowPunct w:val="true"/>
              <w:spacing w:after="0" w:before="0" w:line="100" w:lineRule="atLeast"/>
              <w:jc w:val="center"/>
            </w:pPr>
            <w:r>
              <w:rPr>
                <w:rFonts w:ascii="Times New Roman" w:cs="Times New Roman" w:hAnsi="Times New Roman"/>
                <w:bCs/>
                <w:sz w:val="24"/>
                <w:szCs w:val="24"/>
                <w:lang w:eastAsia="de-DE" w:val="sr-RS"/>
              </w:rPr>
              <w:t>Име и презиме</w:t>
            </w:r>
            <w:r>
              <w:rPr>
                <w:rFonts w:ascii="Times New Roman" w:cs="Times New Roman" w:hAnsi="Times New Roman"/>
                <w:bCs/>
                <w:sz w:val="24"/>
                <w:szCs w:val="24"/>
                <w:lang w:eastAsia="de-DE"/>
              </w:rPr>
              <w:t>:</w:t>
            </w:r>
          </w:p>
        </w:tc>
      </w:tr>
      <w:tr>
        <w:trPr>
          <w:cantSplit w:val="false"/>
        </w:trPr>
        <w:tc>
          <w:tcPr>
            <w:tcW w:type="dxa" w:w="32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overflowPunct w:val="true"/>
              <w:spacing w:after="0" w:before="0" w:line="100" w:lineRule="atLeast"/>
              <w:jc w:val="both"/>
            </w:pPr>
            <w:r>
              <w:rPr>
                <w:rFonts w:ascii="Times New Roman" w:cs="Times New Roman" w:hAnsi="Times New Roman"/>
                <w:bCs/>
                <w:sz w:val="24"/>
                <w:szCs w:val="24"/>
                <w:lang w:eastAsia="de-DE" w:val="sr-RS"/>
              </w:rPr>
              <w:t>1.</w:t>
            </w:r>
          </w:p>
        </w:tc>
        <w:tc>
          <w:tcPr>
            <w:tcW w:type="dxa" w:w="34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overflowPunct w:val="true"/>
              <w:spacing w:after="0" w:before="0" w:line="100" w:lineRule="atLeast"/>
              <w:jc w:val="both"/>
            </w:pPr>
            <w:r>
              <w:rPr>
                <w:rFonts w:ascii="Times New Roman" w:cs="Times New Roman" w:hAnsi="Times New Roman"/>
                <w:bCs/>
                <w:sz w:val="24"/>
                <w:szCs w:val="24"/>
                <w:lang w:eastAsia="de-DE" w:val="sr-RS"/>
              </w:rPr>
            </w:r>
          </w:p>
        </w:tc>
        <w:tc>
          <w:tcPr>
            <w:tcW w:type="dxa" w:w="38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overflowPunct w:val="true"/>
              <w:spacing w:after="0" w:before="0" w:line="100" w:lineRule="atLeast"/>
            </w:pPr>
            <w:r>
              <w:rPr>
                <w:rFonts w:ascii="Times New Roman" w:cs="Times New Roman" w:hAnsi="Times New Roman"/>
                <w:bCs/>
                <w:sz w:val="24"/>
                <w:szCs w:val="24"/>
                <w:lang w:eastAsia="de-DE" w:val="sr-RS"/>
              </w:rPr>
              <w:t>1.</w:t>
            </w:r>
            <w:r>
              <w:rPr>
                <w:rFonts w:ascii="Times New Roman" w:cs="Times New Roman" w:hAnsi="Times New Roman"/>
                <w:bCs/>
                <w:sz w:val="24"/>
                <w:szCs w:val="24"/>
                <w:lang w:eastAsia="de-DE"/>
              </w:rPr>
              <w:t xml:space="preserve"> </w:t>
            </w:r>
          </w:p>
        </w:tc>
      </w:tr>
      <w:tr>
        <w:trPr>
          <w:cantSplit w:val="false"/>
        </w:trPr>
        <w:tc>
          <w:tcPr>
            <w:tcW w:type="dxa" w:w="32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overflowPunct w:val="true"/>
              <w:spacing w:after="0" w:before="0" w:line="100" w:lineRule="atLeast"/>
            </w:pPr>
            <w:r>
              <w:rPr>
                <w:rFonts w:ascii="Times New Roman" w:cs="Times New Roman" w:hAnsi="Times New Roman"/>
                <w:bCs/>
                <w:sz w:val="24"/>
                <w:szCs w:val="24"/>
                <w:lang w:eastAsia="de-DE" w:val="sr-RS"/>
              </w:rPr>
              <w:t xml:space="preserve">2. </w:t>
            </w:r>
          </w:p>
        </w:tc>
        <w:tc>
          <w:tcPr>
            <w:tcW w:type="dxa" w:w="34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overflowPunct w:val="true"/>
              <w:spacing w:after="0" w:before="0" w:line="100" w:lineRule="atLeast"/>
              <w:jc w:val="both"/>
            </w:pPr>
            <w:r>
              <w:rPr>
                <w:rFonts w:ascii="Times New Roman" w:cs="Times New Roman" w:hAnsi="Times New Roman"/>
                <w:bCs/>
                <w:sz w:val="24"/>
                <w:szCs w:val="24"/>
                <w:lang w:eastAsia="de-DE" w:val="en-US"/>
              </w:rPr>
            </w:r>
          </w:p>
        </w:tc>
        <w:tc>
          <w:tcPr>
            <w:tcW w:type="dxa" w:w="38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overflowPunct w:val="true"/>
              <w:spacing w:after="0" w:before="0" w:line="100" w:lineRule="atLeast"/>
            </w:pPr>
            <w:r>
              <w:rPr>
                <w:rFonts w:ascii="Times New Roman" w:cs="Times New Roman" w:hAnsi="Times New Roman"/>
                <w:bCs/>
                <w:sz w:val="24"/>
                <w:szCs w:val="24"/>
                <w:lang w:eastAsia="de-DE" w:val="sr-RS"/>
              </w:rPr>
              <w:t>2.</w:t>
            </w:r>
          </w:p>
        </w:tc>
      </w:tr>
      <w:tr>
        <w:trPr>
          <w:cantSplit w:val="false"/>
        </w:trPr>
        <w:tc>
          <w:tcPr>
            <w:tcW w:type="dxa" w:w="32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overflowPunct w:val="true"/>
              <w:spacing w:after="0" w:before="0" w:line="100" w:lineRule="atLeast"/>
            </w:pPr>
            <w:r>
              <w:rPr>
                <w:rFonts w:ascii="Times New Roman" w:cs="Times New Roman" w:hAnsi="Times New Roman"/>
                <w:bCs/>
                <w:sz w:val="24"/>
                <w:szCs w:val="24"/>
                <w:lang w:eastAsia="de-DE" w:val="sr-RS"/>
              </w:rPr>
              <w:t xml:space="preserve">3. </w:t>
            </w:r>
          </w:p>
        </w:tc>
        <w:tc>
          <w:tcPr>
            <w:tcW w:type="dxa" w:w="34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overflowPunct w:val="true"/>
              <w:spacing w:after="0" w:before="0" w:line="100" w:lineRule="atLeast"/>
              <w:jc w:val="both"/>
            </w:pPr>
            <w:r>
              <w:rPr>
                <w:rFonts w:ascii="Times New Roman" w:cs="Times New Roman" w:hAnsi="Times New Roman"/>
                <w:bCs/>
                <w:sz w:val="24"/>
                <w:szCs w:val="24"/>
                <w:lang w:eastAsia="de-DE" w:val="en-US"/>
              </w:rPr>
            </w:r>
          </w:p>
        </w:tc>
        <w:tc>
          <w:tcPr>
            <w:tcW w:type="dxa" w:w="38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overflowPunct w:val="true"/>
              <w:spacing w:after="0" w:before="0" w:line="100" w:lineRule="atLeast"/>
            </w:pPr>
            <w:r>
              <w:rPr>
                <w:rFonts w:ascii="Times New Roman" w:cs="Times New Roman" w:hAnsi="Times New Roman"/>
                <w:bCs/>
                <w:sz w:val="24"/>
                <w:szCs w:val="24"/>
                <w:lang w:eastAsia="de-DE" w:val="sr-RS"/>
              </w:rPr>
              <w:t>3.</w:t>
            </w:r>
          </w:p>
        </w:tc>
      </w:tr>
      <w:tr>
        <w:trPr>
          <w:trHeight w:hRule="atLeast" w:val="381"/>
          <w:cantSplit w:val="false"/>
        </w:trPr>
        <w:tc>
          <w:tcPr>
            <w:tcW w:type="dxa" w:w="3529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overflowPunct w:val="true"/>
              <w:spacing w:after="0" w:before="0" w:line="100" w:lineRule="atLeast"/>
            </w:pPr>
            <w:r>
              <w:rPr>
                <w:rFonts w:ascii="Times New Roman" w:cs="Times New Roman" w:hAnsi="Times New Roman"/>
                <w:bCs/>
                <w:sz w:val="24"/>
                <w:szCs w:val="24"/>
                <w:lang w:eastAsia="de-DE" w:val="sr-RS"/>
              </w:rPr>
              <w:t>Датум инспекцијског надзора на терену:</w:t>
            </w:r>
          </w:p>
        </w:tc>
      </w:tr>
      <w:tr>
        <w:trPr>
          <w:trHeight w:hRule="atLeast" w:val="400"/>
          <w:cantSplit w:val="false"/>
        </w:trPr>
        <w:tc>
          <w:tcPr>
            <w:tcW w:type="dxa" w:w="3529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overflowPunct w:val="true"/>
              <w:spacing w:after="0" w:before="0" w:line="100" w:lineRule="atLeast"/>
            </w:pPr>
            <w:r>
              <w:rPr>
                <w:rFonts w:ascii="Times New Roman" w:cs="Times New Roman" w:hAnsi="Times New Roman"/>
                <w:bCs/>
                <w:sz w:val="24"/>
                <w:szCs w:val="24"/>
                <w:lang w:eastAsia="de-DE" w:val="sr-RS"/>
              </w:rPr>
              <w:t>Број записника, уз који се прилаже контролна листа:</w:t>
            </w:r>
          </w:p>
        </w:tc>
      </w:tr>
    </w:tbl>
    <w:p>
      <w:pPr>
        <w:pStyle w:val="style0"/>
        <w:spacing w:after="0" w:before="0" w:line="100" w:lineRule="atLeast"/>
        <w:jc w:val="both"/>
      </w:pPr>
      <w:r>
        <w:rPr/>
      </w:r>
    </w:p>
    <w:sectPr>
      <w:headerReference r:id="rId2" w:type="even"/>
      <w:headerReference r:id="rId3" w:type="default"/>
      <w:footerReference r:id="rId4" w:type="even"/>
      <w:footerReference r:id="rId5" w:type="default"/>
      <w:footnotePr>
        <w:numFmt w:val="decimal"/>
      </w:footnotePr>
      <w:type w:val="nextPage"/>
      <w:pgSz w:h="16838" w:w="11906"/>
      <w:pgMar w:bottom="1418" w:footer="709" w:gutter="0" w:header="709" w:left="1418" w:right="1418" w:top="1418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Verdana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41"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41"/>
      <w:jc w:val="right"/>
    </w:pPr>
    <w:r>
      <w:rPr>
        <w:rFonts w:ascii="Times New Roman" w:cs="Times New Roman" w:hAnsi="Times New Roman"/>
        <w:color w:val="5B9BD5"/>
        <w:sz w:val="24"/>
        <w:szCs w:val="24"/>
      </w:rPr>
      <w:t xml:space="preserve"> </w:t>
    </w:r>
    <w:r>
      <w:rPr>
        <w:rFonts w:ascii="Calibri Light" w:cs="" w:hAnsi="Calibri Light"/>
        <w:color w:val="5B9BD5"/>
        <w:sz w:val="20"/>
        <w:szCs w:val="20"/>
      </w:rPr>
      <w:t xml:space="preserve">pg. </w:t>
    </w:r>
    <w:r>
      <w:rPr/>
      <w:fldChar w:fldCharType="begin"/>
    </w:r>
    <w:r>
      <w:instrText> PAGE </w:instrText>
    </w:r>
    <w:r>
      <w:fldChar w:fldCharType="separate"/>
    </w:r>
    <w:r>
      <w:t>3</w:t>
    </w:r>
    <w:r>
      <w:fldChar w:fldCharType="end"/>
    </w:r>
  </w:p>
</w:ftr>
</file>

<file path=word/footnotes.xml><?xml version="1.0" encoding="utf-8"?>
<w:footnotes xmlns:w="http://schemas.openxmlformats.org/wordprocessingml/2006/main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style46"/>
      </w:pPr>
      <w:r>
        <w:rPr>
          <w:rStyle w:val="style23"/>
        </w:rPr>
        <w:footnoteRef/>
        <w:tab/>
      </w:r>
      <w:r>
        <w:rPr/>
        <w:t xml:space="preserve"> </w:t>
      </w:r>
      <w:r>
        <w:rPr>
          <w:rFonts w:ascii="Times New Roman" w:cs="Times New Roman" w:hAnsi="Times New Roman"/>
          <w:lang w:val="sr-RS"/>
        </w:rPr>
        <w:t>НИЈЕ ПРИМЕНЉИВО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40"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0"/>
      <w:tabs>
        <w:tab w:leader="none" w:pos="1418" w:val="center"/>
        <w:tab w:leader="none" w:pos="4536" w:val="center"/>
        <w:tab w:leader="none" w:pos="9072" w:val="right"/>
        <w:tab w:leader="none" w:pos="9360" w:val="right"/>
      </w:tabs>
      <w:spacing w:after="0" w:before="0" w:line="100" w:lineRule="atLeast"/>
      <w:ind w:hanging="0" w:left="0" w:right="-588"/>
    </w:pPr>
    <w:r>
      <w:rPr/>
      <w:drawing>
        <wp:inline distB="0" distL="0" distR="0" distT="0">
          <wp:extent cx="390525" cy="676275"/>
          <wp:effectExtent b="0" l="0" r="0" t="0"/>
          <wp:docPr descr="A description..."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A description..." id="0" name="Picture"/>
                  <pic:cNvPicPr>
                    <a:picLocks noChangeArrowheads="1"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>
    <w:pPr>
      <w:pStyle w:val="style0"/>
      <w:spacing w:after="0" w:before="0" w:line="100" w:lineRule="atLeast"/>
    </w:pPr>
    <w:r>
      <w:rPr>
        <w:rFonts w:ascii="Times New Roman" w:cs="Times New Roman" w:eastAsia="Times New Roman" w:hAnsi="Times New Roman"/>
        <w:b/>
        <w:lang w:val="ru-RU"/>
      </w:rPr>
      <w:t>Република Србија</w:t>
    </w:r>
  </w:p>
  <w:p>
    <w:pPr>
      <w:pStyle w:val="style0"/>
      <w:spacing w:after="0" w:before="0" w:line="100" w:lineRule="atLeast"/>
    </w:pPr>
    <w:r>
      <w:rPr>
        <w:rFonts w:ascii="Times New Roman" w:cs="Times New Roman" w:eastAsia="Times New Roman" w:hAnsi="Times New Roman"/>
        <w:lang w:val="ru-RU"/>
      </w:rPr>
      <w:t>МИНИСТАРСТВО ЗАШТИТЕ ЖИВОТНЕ СРЕДИНЕ</w:t>
    </w:r>
  </w:p>
  <w:p>
    <w:pPr>
      <w:pStyle w:val="style0"/>
      <w:tabs>
        <w:tab w:leader="none" w:pos="1418" w:val="center"/>
        <w:tab w:leader="none" w:pos="4536" w:val="center"/>
        <w:tab w:leader="none" w:pos="9072" w:val="right"/>
        <w:tab w:leader="none" w:pos="9360" w:val="right"/>
      </w:tabs>
      <w:spacing w:after="0" w:before="0" w:line="100" w:lineRule="atLeast"/>
      <w:ind w:hanging="0" w:left="0" w:right="-588"/>
    </w:pPr>
    <w:r>
      <w:rPr>
        <w:rFonts w:ascii="Times New Roman" w:cs="Times New Roman" w:eastAsia="Times New Roman" w:hAnsi="Times New Roman"/>
        <w:lang w:val="ru-RU"/>
      </w:rPr>
      <w:t>Сектор за надзор и предострожност у животној средини</w:t>
    </w:r>
  </w:p>
  <w:p>
    <w:pPr>
      <w:pStyle w:val="style0"/>
      <w:tabs>
        <w:tab w:leader="none" w:pos="1418" w:val="center"/>
        <w:tab w:leader="none" w:pos="4536" w:val="center"/>
        <w:tab w:leader="none" w:pos="9072" w:val="right"/>
        <w:tab w:leader="none" w:pos="9360" w:val="right"/>
      </w:tabs>
      <w:spacing w:after="0" w:before="0" w:line="100" w:lineRule="atLeast"/>
      <w:ind w:hanging="0" w:left="0" w:right="-588"/>
    </w:pPr>
    <w:r>
      <w:rPr>
        <w:rFonts w:ascii="Times New Roman" w:cs="Times New Roman" w:eastAsia="Times New Roman" w:hAnsi="Times New Roman"/>
        <w:lang w:val="ru-RU"/>
      </w:rPr>
      <w:t>Инспекција за заштиту животне средине</w:t>
    </w:r>
  </w:p>
  <w:p>
    <w:pPr>
      <w:pStyle w:val="style0"/>
      <w:tabs>
        <w:tab w:leader="none" w:pos="1418" w:val="center"/>
        <w:tab w:leader="none" w:pos="4536" w:val="center"/>
        <w:tab w:leader="none" w:pos="9072" w:val="right"/>
        <w:tab w:leader="none" w:pos="9360" w:val="right"/>
      </w:tabs>
      <w:spacing w:after="0" w:before="0" w:line="100" w:lineRule="atLeast"/>
    </w:pPr>
    <w:r>
      <w:rPr>
        <w:rFonts w:ascii="Times New Roman" w:cs="Times New Roman" w:eastAsia="Times New Roman" w:hAnsi="Times New Roman"/>
        <w:b/>
        <w:sz w:val="24"/>
        <w:szCs w:val="24"/>
        <w:lang w:val="sr-RS"/>
      </w:rPr>
      <w:t>Шифра: КЛ-12-01/02</w:t>
    </w:r>
  </w:p>
  <w:p>
    <w:pPr>
      <w:pStyle w:val="style0"/>
      <w:tabs>
        <w:tab w:leader="none" w:pos="1418" w:val="center"/>
        <w:tab w:leader="none" w:pos="4536" w:val="center"/>
        <w:tab w:leader="none" w:pos="9072" w:val="right"/>
        <w:tab w:leader="none" w:pos="9360" w:val="right"/>
      </w:tabs>
      <w:spacing w:after="0" w:before="0" w:line="100" w:lineRule="atLeast"/>
    </w:pPr>
    <w:r>
      <w:rPr>
        <w:rFonts w:ascii="Times New Roman" w:cs="Times New Roman" w:eastAsia="Times New Roman" w:hAnsi="Times New Roman"/>
        <w:b/>
        <w:sz w:val="24"/>
        <w:szCs w:val="24"/>
        <w:lang w:val="sr-RS"/>
      </w:rPr>
      <w:t xml:space="preserve">Датум: </w:t>
    </w:r>
    <w:r>
      <w:rPr>
        <w:rFonts w:ascii="Times New Roman" w:cs="Times New Roman" w:eastAsia="Times New Roman" w:hAnsi="Times New Roman"/>
        <w:b/>
        <w:sz w:val="24"/>
        <w:szCs w:val="24"/>
      </w:rPr>
      <w:t>27.12</w:t>
    </w:r>
    <w:bookmarkStart w:id="0" w:name="_GoBack"/>
    <w:bookmarkEnd w:id="0"/>
    <w:r>
      <w:rPr>
        <w:rFonts w:ascii="Times New Roman" w:cs="Times New Roman" w:eastAsia="Times New Roman" w:hAnsi="Times New Roman"/>
        <w:b/>
        <w:sz w:val="24"/>
        <w:szCs w:val="24"/>
      </w:rPr>
      <w:t>.2019.</w:t>
    </w:r>
  </w:p>
  <w:p>
    <w:pPr>
      <w:pStyle w:val="style40"/>
    </w:pPr>
    <w:r>
      <w:rPr/>
    </w:r>
  </w:p>
</w:hdr>
</file>

<file path=word/settings.xml><?xml version="1.0" encoding="utf-8"?>
<w:settings xmlns:w="http://schemas.openxmlformats.org/wordprocessingml/2006/main">
  <w:evenAndOddHeaders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tabs>
        <w:tab w:leader="none" w:pos="720" w:val="left"/>
      </w:tabs>
      <w:suppressAutoHyphens w:val="true"/>
      <w:spacing w:after="200" w:before="0" w:line="276" w:lineRule="auto"/>
    </w:pPr>
    <w:rPr>
      <w:rFonts w:ascii="Verdana" w:cs="Arial" w:eastAsia="Verdana" w:hAnsi="Verdana"/>
      <w:color w:val="auto"/>
      <w:sz w:val="22"/>
      <w:szCs w:val="22"/>
      <w:lang w:bidi="ar-SA" w:eastAsia="en-US" w:val="en-GB"/>
    </w:rPr>
  </w:style>
  <w:style w:styleId="style15" w:type="character">
    <w:name w:val="Default Paragraph Font"/>
    <w:next w:val="style15"/>
    <w:rPr/>
  </w:style>
  <w:style w:styleId="style16" w:type="character">
    <w:name w:val="Header Char"/>
    <w:basedOn w:val="style15"/>
    <w:next w:val="style16"/>
    <w:rPr/>
  </w:style>
  <w:style w:styleId="style17" w:type="character">
    <w:name w:val="Footer Char"/>
    <w:basedOn w:val="style15"/>
    <w:next w:val="style17"/>
    <w:rPr/>
  </w:style>
  <w:style w:styleId="style18" w:type="character">
    <w:name w:val="Balloon Text Char"/>
    <w:next w:val="style18"/>
    <w:rPr>
      <w:rFonts w:ascii="Wingdings" w:cs="Wingdings" w:hAnsi="Wingdings"/>
      <w:sz w:val="16"/>
      <w:szCs w:val="16"/>
      <w:lang w:eastAsia="en-US"/>
    </w:rPr>
  </w:style>
  <w:style w:styleId="style19" w:type="character">
    <w:name w:val="annotation reference"/>
    <w:next w:val="style19"/>
    <w:rPr>
      <w:sz w:val="16"/>
      <w:szCs w:val="16"/>
    </w:rPr>
  </w:style>
  <w:style w:styleId="style20" w:type="character">
    <w:name w:val="Comment Text Char"/>
    <w:next w:val="style20"/>
    <w:rPr>
      <w:lang w:eastAsia="en-US"/>
    </w:rPr>
  </w:style>
  <w:style w:styleId="style21" w:type="character">
    <w:name w:val="Comment Subject Char"/>
    <w:next w:val="style21"/>
    <w:rPr>
      <w:b/>
      <w:bCs/>
      <w:lang w:eastAsia="en-US"/>
    </w:rPr>
  </w:style>
  <w:style w:styleId="style22" w:type="character">
    <w:name w:val="Footnote Text Char"/>
    <w:basedOn w:val="style15"/>
    <w:next w:val="style22"/>
    <w:rPr>
      <w:lang w:eastAsia="en-US"/>
    </w:rPr>
  </w:style>
  <w:style w:styleId="style23" w:type="character">
    <w:name w:val="footnote reference"/>
    <w:basedOn w:val="style15"/>
    <w:next w:val="style23"/>
    <w:rPr>
      <w:vertAlign w:val="superscript"/>
    </w:rPr>
  </w:style>
  <w:style w:styleId="style24" w:type="character">
    <w:name w:val="ListLabel 1"/>
    <w:next w:val="style24"/>
    <w:rPr>
      <w:b w:val="false"/>
    </w:rPr>
  </w:style>
  <w:style w:styleId="style25" w:type="character">
    <w:name w:val="ListLabel 2"/>
    <w:next w:val="style25"/>
    <w:rPr>
      <w:b w:val="false"/>
      <w:i w:val="false"/>
    </w:rPr>
  </w:style>
  <w:style w:styleId="style26" w:type="character">
    <w:name w:val="ListLabel 3"/>
    <w:next w:val="style26"/>
    <w:rPr>
      <w:rFonts w:cs="Courier New"/>
    </w:rPr>
  </w:style>
  <w:style w:styleId="style27" w:type="character">
    <w:name w:val="ListLabel 4"/>
    <w:next w:val="style27"/>
    <w:rPr>
      <w:rFonts w:cs="Times New Roman" w:eastAsia="Calibri"/>
    </w:rPr>
  </w:style>
  <w:style w:styleId="style28" w:type="character">
    <w:name w:val="ListLabel 5"/>
    <w:next w:val="style28"/>
    <w:rPr>
      <w:rFonts w:cs="Arial" w:eastAsia="Times New Roman"/>
    </w:rPr>
  </w:style>
  <w:style w:styleId="style29" w:type="character">
    <w:name w:val="ListLabel 6"/>
    <w:next w:val="style29"/>
    <w:rPr>
      <w:rFonts w:cs="Times New Roman" w:eastAsia="Times New Roman"/>
    </w:rPr>
  </w:style>
  <w:style w:styleId="style30" w:type="character">
    <w:name w:val="ListLabel 7"/>
    <w:next w:val="style30"/>
    <w:rPr>
      <w:rFonts w:cs="Times New Roman" w:eastAsia="Times New Roman"/>
      <w:sz w:val="22"/>
    </w:rPr>
  </w:style>
  <w:style w:styleId="style31" w:type="character">
    <w:name w:val="Footnote Characters"/>
    <w:next w:val="style31"/>
    <w:rPr/>
  </w:style>
  <w:style w:styleId="style32" w:type="character">
    <w:name w:val="Footnote anchor"/>
    <w:next w:val="style32"/>
    <w:rPr>
      <w:vertAlign w:val="superscript"/>
    </w:rPr>
  </w:style>
  <w:style w:styleId="style33" w:type="character">
    <w:name w:val="Endnote anchor"/>
    <w:next w:val="style33"/>
    <w:rPr>
      <w:vertAlign w:val="superscript"/>
    </w:rPr>
  </w:style>
  <w:style w:styleId="style34" w:type="character">
    <w:name w:val="Endnote Characters"/>
    <w:next w:val="style34"/>
    <w:rPr/>
  </w:style>
  <w:style w:styleId="style35" w:type="paragraph">
    <w:name w:val="Heading"/>
    <w:basedOn w:val="style0"/>
    <w:next w:val="style36"/>
    <w:pPr>
      <w:keepNext/>
      <w:spacing w:after="120" w:before="240"/>
    </w:pPr>
    <w:rPr>
      <w:rFonts w:ascii="Arial" w:cs="Mangal" w:eastAsia="Lucida Sans Unicode" w:hAnsi="Arial"/>
      <w:sz w:val="28"/>
      <w:szCs w:val="28"/>
    </w:rPr>
  </w:style>
  <w:style w:styleId="style36" w:type="paragraph">
    <w:name w:val="Text body"/>
    <w:basedOn w:val="style0"/>
    <w:next w:val="style36"/>
    <w:pPr>
      <w:spacing w:after="120" w:before="0"/>
    </w:pPr>
    <w:rPr/>
  </w:style>
  <w:style w:styleId="style37" w:type="paragraph">
    <w:name w:val="List"/>
    <w:basedOn w:val="style36"/>
    <w:next w:val="style37"/>
    <w:pPr/>
    <w:rPr>
      <w:rFonts w:cs="Mangal"/>
    </w:rPr>
  </w:style>
  <w:style w:styleId="style38" w:type="paragraph">
    <w:name w:val="Caption"/>
    <w:basedOn w:val="style0"/>
    <w:next w:val="style38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39" w:type="paragraph">
    <w:name w:val="Index"/>
    <w:basedOn w:val="style0"/>
    <w:next w:val="style39"/>
    <w:pPr>
      <w:suppressLineNumbers/>
    </w:pPr>
    <w:rPr>
      <w:rFonts w:cs="Mangal"/>
    </w:rPr>
  </w:style>
  <w:style w:styleId="style40" w:type="paragraph">
    <w:name w:val="Header"/>
    <w:basedOn w:val="style0"/>
    <w:next w:val="style40"/>
    <w:pPr>
      <w:suppressLineNumbers/>
      <w:tabs>
        <w:tab w:leader="none" w:pos="4536" w:val="center"/>
        <w:tab w:leader="none" w:pos="9072" w:val="right"/>
      </w:tabs>
      <w:spacing w:after="0" w:before="0" w:line="100" w:lineRule="atLeast"/>
    </w:pPr>
    <w:rPr/>
  </w:style>
  <w:style w:styleId="style41" w:type="paragraph">
    <w:name w:val="Footer"/>
    <w:basedOn w:val="style0"/>
    <w:next w:val="style41"/>
    <w:pPr>
      <w:suppressLineNumbers/>
      <w:tabs>
        <w:tab w:leader="none" w:pos="4536" w:val="center"/>
        <w:tab w:leader="none" w:pos="9072" w:val="right"/>
      </w:tabs>
      <w:spacing w:after="0" w:before="0" w:line="100" w:lineRule="atLeast"/>
    </w:pPr>
    <w:rPr/>
  </w:style>
  <w:style w:styleId="style42" w:type="paragraph">
    <w:name w:val="Balloon Text"/>
    <w:basedOn w:val="style0"/>
    <w:next w:val="style42"/>
    <w:pPr>
      <w:spacing w:after="0" w:before="0" w:line="100" w:lineRule="atLeast"/>
    </w:pPr>
    <w:rPr>
      <w:rFonts w:ascii="Wingdings" w:cs="Times New Roman" w:hAnsi="Wingdings"/>
      <w:sz w:val="16"/>
      <w:szCs w:val="16"/>
      <w:lang w:val="en-US"/>
    </w:rPr>
  </w:style>
  <w:style w:styleId="style43" w:type="paragraph">
    <w:name w:val="List Paragraph"/>
    <w:basedOn w:val="style0"/>
    <w:next w:val="style43"/>
    <w:pPr>
      <w:spacing w:after="0" w:before="0" w:line="100" w:lineRule="atLeast"/>
      <w:ind w:hanging="0" w:left="720" w:right="0"/>
    </w:pPr>
    <w:rPr>
      <w:rFonts w:ascii="Calibri" w:cs="Calibri" w:eastAsia="Arial" w:hAnsi="Calibri"/>
      <w:color w:val="000000"/>
      <w:sz w:val="24"/>
      <w:szCs w:val="24"/>
      <w:lang w:val="en-US"/>
    </w:rPr>
  </w:style>
  <w:style w:styleId="style44" w:type="paragraph">
    <w:name w:val="annotation text"/>
    <w:basedOn w:val="style0"/>
    <w:next w:val="style44"/>
    <w:pPr/>
    <w:rPr>
      <w:rFonts w:cs="Times New Roman"/>
      <w:sz w:val="20"/>
      <w:szCs w:val="20"/>
      <w:lang w:val="en-US"/>
    </w:rPr>
  </w:style>
  <w:style w:styleId="style45" w:type="paragraph">
    <w:name w:val="annotation subject"/>
    <w:basedOn w:val="style44"/>
    <w:next w:val="style45"/>
    <w:pPr/>
    <w:rPr>
      <w:b/>
      <w:bCs/>
    </w:rPr>
  </w:style>
  <w:style w:styleId="style46" w:type="paragraph">
    <w:name w:val="footnote text"/>
    <w:basedOn w:val="style0"/>
    <w:next w:val="style46"/>
    <w:pPr>
      <w:spacing w:after="0" w:before="0" w:line="100" w:lineRule="atLeast"/>
    </w:pPr>
    <w:rPr>
      <w:sz w:val="20"/>
      <w:szCs w:val="20"/>
    </w:rPr>
  </w:style>
  <w:style w:styleId="style47" w:type="paragraph">
    <w:name w:val="No Spacing"/>
    <w:next w:val="style47"/>
    <w:pPr>
      <w:widowControl/>
      <w:tabs>
        <w:tab w:leader="none" w:pos="720" w:val="left"/>
      </w:tabs>
      <w:suppressAutoHyphens w:val="true"/>
    </w:pPr>
    <w:rPr>
      <w:rFonts w:ascii="Times New Roman" w:cs="Times New Roman" w:eastAsia="Times New Roman" w:hAnsi="Times New Roman"/>
      <w:color w:val="auto"/>
      <w:sz w:val="24"/>
      <w:szCs w:val="24"/>
      <w:lang w:bidi="ar-SA" w:eastAsia="en-US" w:val="hr-HR"/>
    </w:rPr>
  </w:style>
  <w:style w:styleId="style48" w:type="paragraph">
    <w:name w:val="Footnote"/>
    <w:basedOn w:val="style0"/>
    <w:next w:val="style48"/>
    <w:pPr>
      <w:suppressLineNumbers/>
      <w:ind w:hanging="339" w:left="339" w:right="0"/>
    </w:pPr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otnotes" Target="footnotes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2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2020-01-09T08:49:00.00Z</dcterms:created>
  <dc:creator>Jelena Stankovic</dc:creator>
  <cp:lastModifiedBy>Jelena Dj. Golubovic</cp:lastModifiedBy>
  <cp:lastPrinted>2019-04-02T10:08:00.00Z</cp:lastPrinted>
  <dcterms:modified xsi:type="dcterms:W3CDTF">2020-01-09T08:49:00.00Z</dcterms:modified>
  <cp:revision>2</cp:revision>
</cp:coreProperties>
</file>